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1200"/>
      </w:pPr>
      <w:r>
        <w:rPr>
          <w:rFonts w:ascii="Arial" w:cs="Arial" w:eastAsia="Arial" w:hAnsi="Arial"/>
          <w:b/>
          <w:bCs/>
          <w:color w:val="14532D"/>
          <w:sz w:val="28"/>
          <w:szCs w:val="28"/>
        </w:rPr>
        <w:t xml:space="preserve">Cirnex</w:t>
      </w:r>
    </w:p>
    <w:p>
      <w:pPr>
        <w:pStyle w:val="Heading1"/>
        <w:spacing w:after="120" w:before="0"/>
      </w:pPr>
      <w:r>
        <w:rPr>
          <w:rFonts w:ascii="Arial" w:cs="Arial" w:eastAsia="Arial" w:hAnsi="Arial"/>
          <w:b/>
          <w:bCs/>
          <w:color w:val="14241B"/>
          <w:sz w:val="52"/>
          <w:szCs w:val="52"/>
        </w:rPr>
        <w:t xml:space="preserve">Handleiding verantwoord AI-gebruik</w:t>
      </w:r>
    </w:p>
    <w:p>
      <w:pPr>
        <w:spacing w:after="600" w:before="0"/>
      </w:pPr>
      <w:r>
        <w:rPr>
          <w:rFonts w:ascii="Arial" w:cs="Arial" w:eastAsia="Arial" w:hAnsi="Arial"/>
          <w:color w:val="5A6B5E"/>
          <w:sz w:val="28"/>
          <w:szCs w:val="28"/>
        </w:rPr>
        <w:t xml:space="preserve">Gespreksleidraad voor gemeenten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240"/>
              <w:left w:type="dxa" w:w="300"/>
              <w:bottom w:type="dxa" w:w="240"/>
              <w:right w:type="dxa" w:w="3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Doel van deze handleiding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Deze leidraad helpt bestuurders, beleidsmedewerkers en teamleiders om verantwoord AI-gebruik structureel te bespreken in de eigen organisatie. De drie kaders — EU AI Act, AVG &amp; privacy en serverlocatie &amp; digitale autonomie — worden vertaald naar concrete gespreksvragen en actiepunten.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4241B"/>
          <w:sz w:val="22"/>
          <w:szCs w:val="22"/>
        </w:rPr>
        <w:t xml:space="preserve">Hoe gebruik je deze leidraad?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Gebruik de drie secties als agenda voor een intern gesprek (45–60 min.)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Laat deelnemers de vragen individueel beantwoorden, bespreek daarna samen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Vul de checklist per sectie in en noteer actiepunten in het invulveld onderaan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Herhaal het gesprek jàarlijks of bij aanschaf van nieuwe AI-tools</w:t>
      </w:r>
    </w:p>
    <w:p>
      <w:pPr>
        <w:spacing w:after="80" w:before="8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5A6B5E"/>
          <w:sz w:val="20"/>
          <w:szCs w:val="20"/>
        </w:rPr>
        <w:t xml:space="preserve">Aanwezig bij dit gesprek (invullen)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Datum, deelnemers en afdeling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ageBreakBefore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4532D"/>
                <w:sz w:val="26"/>
                <w:szCs w:val="26"/>
              </w:rPr>
              <w:t xml:space="preserve">Kader 1 — EU AI Act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8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De EU AI Act is per 1 februari 2025 van kracht. Voor gemeenten zijn twee verplichtingen direct relevant: AI-geletterdheid van medewerkers en de classificatie van AI-systemen als hoog-risico. Hoog-risico systemen moeten uiterlijk 2 augustus 2026 compliant zijn.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Tijdlijn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4532D"/>
                <w:sz w:val="20"/>
                <w:szCs w:val="20"/>
              </w:rPr>
              <w:t xml:space="preserve">1 feb 2025 ✓ al verplicht</w:t>
            </w:r>
          </w:p>
        </w:tc>
        <w:tc>
          <w:tcPr>
            <w:tcW w:type="dxa" w:w="68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AI-geletterdheid: alle medewerkers die AI gebruiken moeten basiskennis hebben over werking, risico’s en grenzen van AI.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EF3C7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B45309"/>
                <w:sz w:val="20"/>
                <w:szCs w:val="20"/>
              </w:rPr>
              <w:t xml:space="preserve">2 aug 2026 — aankomend</w:t>
            </w:r>
          </w:p>
        </w:tc>
        <w:tc>
          <w:tcPr>
            <w:tcW w:type="dxa" w:w="68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Hoog-risico AI-systemen: risicoanalyse, registratie in Europese database, menselijk toezicht en transparantie naar burgers verplicht.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EE2E2" w:val="clear"/>
            <w:tcMar>
              <w:top w:type="dxa" w:w="100"/>
              <w:left w:type="dxa" w:w="160"/>
              <w:bottom w:type="dxa" w:w="10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991B1B"/>
                <w:sz w:val="20"/>
                <w:szCs w:val="20"/>
              </w:rPr>
              <w:t xml:space="preserve">Nu al verboden</w:t>
            </w:r>
          </w:p>
        </w:tc>
        <w:tc>
          <w:tcPr>
            <w:tcW w:type="dxa" w:w="68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Gezichtsherkenning in openbare ruimte, sociale scoring op basis van gedrag en manipulatieve AI.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Gespreksvragen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1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Welke AI-tools gebruikt uw organisatie op dit moment — ook informeel door medewerkers zelf?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2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Hebben medewerkers die AI gebruiken aantoonbare basiskennis over werking en risico’s? Hoe is dat geborgd?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3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Welke AI-toepassingen kunnen als ‘hoog-risico’ worden aangemerkt? Denk aan: selectie van burgers, toewijzing van voorzieningen, handhaving.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4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Is er iemand verantwoordelijk voor AI-compliance binnen uw gemeente? Zo niet — wie neemt die rol op?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Checklist EU AI Act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546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Inventarisatie van alle AI-tools in gebruik (inclusief ‘shadow AI’ door medewerkers)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Aantoonbare AI-geletterdheid voor alle betrokken medewerkers geregeld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Classificatie uitgevoerd: welke toepassingen zijn hoog-risico?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Voor hoog-risico systemen: risicoanalyse en menselijk toezicht ingericht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Registratie in Europese AI-database gepland vóór 2 augustus 2026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Verboden toepassingen expliciet uitgesloten in AI-beleid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Actiepunten EU AI Act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ageBreakBefore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BEAFE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E40AF"/>
                <w:sz w:val="26"/>
                <w:szCs w:val="26"/>
              </w:rPr>
              <w:t xml:space="preserve">Kader 2 — AVG &amp; privacy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8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Bij het gebruik van AI met persoonsgegevens gelden de gewone AVG-regels — maar AI maakt naleving ingewikkelder. Medewerkers die data invoeren in AI-tools verwerken vaak onbewust persoonsgegevens. De Autoriteit Persoonsgegevens handhaaft actief bij gemeenten.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Belangrijkste AVG-regels bij AI-gebruik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DPIA verplicht bij grootschalige of hoog-risico verwerking van persoonsgegevens met AI.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Dataminimalisatie: verwijder namen, adressen en BSN’s vóór gebruik in AI-prompt. Bijzondere persoonsgegevens (gezondheid, religie, etniciteit) zijn altijd verboden.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Doelbinding: AI-uitvoer mag alleen worden gebruikt voor het doel waarvoor de data oorspronkelijk verzameld is.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Transparantie: wanneer een besluit (deels) door AI tot stand komt, heeft de burger recht op uitleg en menselijke toetsing.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Gespreksvragen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1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Weten medewerkers wat ze wel en niet mogen invoeren in AI-tools? Is hier een protocol voor?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2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Voor welke AI-toepassingen is een DPIA uitgevoerd? Wie is daarvoor verantwoordelijk?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3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Hoe informeert u burgers wanneer AI een rol speelt in een besluit dat hen raakt?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4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Is er een verwerkersovereenkomst met alle leveranciers die persoonsgegevens verwerken namens uw gemeente?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Checklist AVG &amp; privacy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546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Protocol opgesteld: wat mag wel/niet in AI-prompts (geen BSN, geen bijzondere persoonsgegevens)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DPIA uitgevoerd voor toepassingen met grootschalige gegevensverwerking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Verwerkersovereenkomst aanwezig bij iedere AI-leverancier die persoonsgegevens verwerkt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Medewerkers geïnformeerd over dataminimalisatie en doelbinding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Burgers geïnformeerd over AI-gebruik in besluiten die hen raken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Register van verwerkingsactiviteiten bijgewerkt met AI-toepassingen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Actiepunten AVG &amp; privacy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ageBreakBefore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2FF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3730A3"/>
                <w:sz w:val="26"/>
                <w:szCs w:val="26"/>
              </w:rPr>
              <w:t xml:space="preserve">Kader 3 — Serverlocatie &amp; digitale autonomie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100" w:before="8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Veel gangbare AI-tools (ChatGPT, Microsoft Copilot, Google Gemini) draaien op Amerikaanse servers en vallen onder de US Cloud Act. Data die u invoert kan in principe door Amerikaanse autoriteiten worden opgevraagd. Het Overheidsbreed Standpunt Generatieve AI vraagt organisaties actief Europese alternatieven te verkennen.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Kernpunten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EU-hosting als vertrekpunt: kies bij voorkeur voor leveranciers die data uitsluitend binnen de EU verwerken en opslaan, zonder binding aan niet-EU juridische kaders.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Geen vertrouwelijke gemeentelijke data in publieke modellen zonder enterprise-overeenkomst met dataverwerkingsgaranties.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Afhankelijkheid beperken: overweeg een multi-leverancierstrategie of open-sourcemodellen die lokaal draaien.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Geclassificeerde of strategische informatie (collegebesluit, personeelsdossiers, aanbestedingen) nooit in publieke AI-tools invoeren.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Gespreksvragen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1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Weet u waar de data naartoe gaat wanneer een medewerker een AI-tool gebruikt? Is dat contractueel geborgd?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2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Welke categorieën informatie worden momenteel ingevoerd in AI-tools? Is dat in lijn met het gewenste risiconiveau?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3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Heeft u een enterprise-overeenkomst met AI-leveranciers die garandeert dat data niet voor modeltraining wordt gebruikt?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8466"/>
      </w:tblGrid>
      <w:t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100"/>
              <w:left w:type="dxa" w:w="14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4532D"/>
                <w:sz w:val="22"/>
                <w:szCs w:val="22"/>
              </w:rPr>
              <w:t xml:space="preserve">4</w:t>
            </w:r>
          </w:p>
        </w:tc>
        <w:tc>
          <w:tcPr>
            <w:tcW w:type="dxa" w:w="8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9FAFB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Zijn Europese of open-source alternatieven verkend? Wat zijn de uitkomsten?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Checklist serverlocatie &amp; digitale autonomie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546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Per AI-tool in kaart: waar staat de server, welk recht is van toepassing?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Enterprise- of verwerkersovereenkomst aanwezig met data-in-EU garantie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Beleid vastgesteld: welke data mag in welke AI-tool worden ingevoerd?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Geclassificeerde informatie expliciet uitgesloten van gebruik in publieke AI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Europese en open-source alternatieven geëvalueerd</w:t>
            </w:r>
          </w:p>
        </w:tc>
      </w:tr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5A6B5E"/>
                <w:sz w:val="22"/>
                <w:szCs w:val="22"/>
              </w:rPr>
              <w:t xml:space="preserve">☐</w:t>
            </w:r>
          </w:p>
        </w:tc>
        <w:tc>
          <w:tcPr>
            <w:tcW w:type="dxa" w:w="85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Multi-leverancierstrategie of exitplan opgesteld om lock-in te voorkomen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Actiepunten serverlocatie &amp; digitale autonomie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ageBreakBefore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4F6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374151"/>
                <w:sz w:val="26"/>
                <w:szCs w:val="26"/>
              </w:rPr>
              <w:t xml:space="preserve">Samenvatting &amp; vervolgstap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Totaaloverzicht actiepunten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Prioriteit 1 — direct oppakken (deze maand)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Prioriteit 2 — aanpakken voor 2 augustus 2026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3F4F6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5A6B5E"/>
                <w:sz w:val="20"/>
                <w:szCs w:val="20"/>
              </w:rPr>
              <w:t xml:space="preserve">Prioriteit 3 — structureel borgen (beleid en proces)</w:t>
            </w:r>
          </w:p>
        </w:tc>
      </w:tr>
      <w:tr>
        <w:tc>
          <w:tcPr>
            <w:tcW w:type="dxa" w:w="9026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200"/>
              <w:left w:type="dxa" w:w="160"/>
              <w:bottom w:type="dxa" w:w="6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E3A2F"/>
          <w:sz w:val="24"/>
          <w:szCs w:val="24"/>
        </w:rPr>
        <w:t xml:space="preserve">Vervolgstap met Cirnex</w:t>
      </w:r>
    </w:p>
    <w:p>
      <w:pPr>
        <w:spacing w:after="100" w:before="8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Cirnex begeleidt gemeenten bij AI-geletterdheid, AVG-compliance en het opstellen van AI-beleid. Neem contact op voor: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Een maatwerkworkshop op basis van uw antwoorden uit deze leidraad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Begeleiding bij het opstellen van een gemeentelijk AI-beleid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14241B"/>
          <w:sz w:val="22"/>
          <w:szCs w:val="22"/>
        </w:rPr>
        <w:t xml:space="preserve">DPIA-ondersteuning en leveranciersanalyse</w:t>
      </w:r>
    </w:p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1FAE5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4532D"/>
                <w:sz w:val="24"/>
                <w:szCs w:val="24"/>
              </w:rPr>
              <w:t xml:space="preserve">cirnex.nl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4241B"/>
                <w:sz w:val="22"/>
                <w:szCs w:val="22"/>
              </w:rPr>
              <w:t xml:space="preserve">info@cirnex.nl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5A6B5E"/>
                <w:sz w:val="18"/>
                <w:szCs w:val="18"/>
              </w:rPr>
              <w:t xml:space="preserve">Bronnen: EU AI Act (Europese Commissie) · VNG AI-verordening · Overheidsbreed Standpunt Generatieve AI (Rijksoverheid) · Autoriteit Persoonsgegevens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280" w:bottom="1440" w:left="12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1FAE5" w:sz="4" w:space="1"/>
      </w:pBdr>
      <w:spacing w:before="120"/>
    </w:pPr>
    <w:r>
      <w:rPr>
        <w:rFonts w:ascii="Arial" w:cs="Arial" w:eastAsia="Arial" w:hAnsi="Arial"/>
        <w:color w:val="5A6B5E"/>
        <w:sz w:val="18"/>
        <w:szCs w:val="18"/>
      </w:rPr>
      <w:t xml:space="preserve">cirnex.nl  ·  Versie juni 2026  ·  Pagina </w:t>
    </w:r>
    <w:r>
      <w:rPr>
        <w:rFonts w:ascii="Arial" w:cs="Arial" w:eastAsia="Arial" w:hAnsi="Arial"/>
        <w:color w:val="5A6B5E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1FAE5" w:sz="4" w:space="1"/>
      </w:pBdr>
      <w:spacing w:after="120"/>
    </w:pPr>
    <w:r>
      <w:rPr>
        <w:rFonts w:ascii="Arial" w:cs="Arial" w:eastAsia="Arial" w:hAnsi="Arial"/>
        <w:b/>
        <w:bCs/>
        <w:color w:val="14532D"/>
        <w:sz w:val="18"/>
        <w:szCs w:val="18"/>
      </w:rPr>
      <w:t xml:space="preserve">Cirnex  |  </w:t>
    </w:r>
    <w:r>
      <w:rPr>
        <w:rFonts w:ascii="Arial" w:cs="Arial" w:eastAsia="Arial" w:hAnsi="Arial"/>
        <w:color w:val="5A6B5E"/>
        <w:sz w:val="18"/>
        <w:szCs w:val="18"/>
      </w:rPr>
      <w:t xml:space="preserve">Handleiding verantwoord AI-gebruik voor gemeenten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Arial" w:cs="Arial" w:eastAsia="Arial" w:hAnsi="Arial"/>
      <w:b/>
      <w:bCs/>
      <w:color w:val="14532D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1E3A2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2026-06-27T18:55:27.631Z</dcterms:created>
  <dcterms:modified xsi:type="dcterms:W3CDTF">2026-06-27T18:55:27.632Z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